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xaTopTitle"/>
      </w:pPr>
      <w:r>
        <w:rPr>
          <w:color w:val="E37AB5"/>
        </w:rPr>
        <w:t xml:space="preserve">Anexo 5 revisado: </w:t>
      </w:r>
      <w:r>
        <w:rPr>
          <w:color w:val="222222"/>
        </w:rPr>
        <w:t>Avaliação, monitoramento e fichas complementares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22"/>
      </w:tblGrid>
      <w:tr>
        <w:tc>
          <w:tcPr>
            <w:tcW w:type="dxa" w:w="9936"/>
            <w:shd w:fill="101848"/>
            <w:tcBorders>
              <w:left w:val="single" w:sz="18" w:color="5C47D8"/>
              <w:top w:val="single" w:sz="18" w:color="5C47D8"/>
              <w:right w:val="single" w:sz="18" w:color="5C47D8"/>
              <w:bottom w:val="single" w:sz="18" w:color="5C47D8"/>
            </w:tcBorders>
          </w:tcPr>
          <w:p>
            <w:pPr>
              <w:pStyle w:val="HexaBanner"/>
              <w:spacing w:after="0"/>
            </w:pPr>
            <w:r>
              <w:rPr>
                <w:color w:val="FFFFFF"/>
              </w:rPr>
              <w:t>HEXAVERSO</w:t>
            </w:r>
          </w:p>
          <w:p>
            <w:pPr>
              <w:pStyle w:val="HexaBanner"/>
              <w:spacing w:before="0" w:after="0"/>
            </w:pPr>
            <w:r>
              <w:rPr>
                <w:color w:val="FFFFFF"/>
              </w:rPr>
              <w:t>Avaliação, monitoramento e fichas complementares</w:t>
            </w:r>
          </w:p>
          <w:p>
            <w:pPr>
              <w:pStyle w:val="HexaSmall"/>
            </w:pPr>
            <w:r>
              <w:rPr>
                <w:color w:val="FFFFFF"/>
              </w:rPr>
              <w:t>Linha de base, pós-sessão, avaliação final e apoio metodológico ao mestre-auxiliar</w:t>
            </w:r>
          </w:p>
        </w:tc>
      </w:tr>
    </w:tbl>
    <w:p>
      <w:pPr>
        <w:pStyle w:val="HexaLead"/>
      </w:pPr>
      <w:r>
        <w:t>Este bloco reúne os instrumentos complementares de avaliação e monitoramento do RPG Hexaverso. Sua função é ampliar a capacidade do projeto de medir mudanças, acompanhar sessões, documentar episódios específicos e registrar a qualidade da implementação, sem substituir a Ficha Principal do Mestre-Auxiliar, a Ficha Individual Hexaflex ou o Manual de Follow-up.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Section"/>
              <w:spacing w:after="80" w:before="0"/>
            </w:pPr>
            <w:r>
              <w:t>Estrutura do anexo</w:t>
            </w:r>
          </w:p>
          <w:p>
            <w:pPr>
              <w:spacing w:after="60"/>
              <w:ind w:left="160"/>
            </w:pPr>
            <w:r>
              <w:t>• Módulo 1 — linha de base e avaliação final</w:t>
            </w:r>
          </w:p>
          <w:p>
            <w:pPr>
              <w:spacing w:after="60"/>
              <w:ind w:left="160"/>
            </w:pPr>
            <w:r>
              <w:t>• Módulo 2 — questionários pós-sessão</w:t>
            </w:r>
          </w:p>
          <w:p>
            <w:pPr>
              <w:spacing w:after="60"/>
              <w:ind w:left="160"/>
            </w:pPr>
            <w:r>
              <w:t>• Módulo 3 — fichas complementares do mestre-auxiliar</w:t>
            </w:r>
          </w:p>
          <w:p>
            <w:pPr>
              <w:spacing w:after="60"/>
              <w:ind w:left="160"/>
            </w:pPr>
            <w:r>
              <w:t>• Módulo 4 — orientações metodológicas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Section"/>
              <w:spacing w:after="80" w:before="0"/>
            </w:pPr>
            <w:r>
              <w:t>Funções centrais</w:t>
            </w:r>
          </w:p>
          <w:p>
            <w:pPr>
              <w:spacing w:after="60"/>
              <w:ind w:left="160"/>
            </w:pPr>
            <w:r>
              <w:t>• Avaliar mudanças antes e depois da campanha</w:t>
            </w:r>
          </w:p>
          <w:p>
            <w:pPr>
              <w:spacing w:after="60"/>
              <w:ind w:left="160"/>
            </w:pPr>
            <w:r>
              <w:t>• Monitorar aprendizagem percebida e clima por sessão</w:t>
            </w:r>
          </w:p>
          <w:p>
            <w:pPr>
              <w:spacing w:after="60"/>
              <w:ind w:left="160"/>
            </w:pPr>
            <w:r>
              <w:t>• Apoiar observação, registro ABC, prompts e fidelidade</w:t>
            </w:r>
          </w:p>
          <w:p>
            <w:pPr>
              <w:spacing w:after="60"/>
              <w:ind w:left="160"/>
            </w:pPr>
            <w:r>
              <w:t>• Documentar risco, encaminhamento e planejamento do próximo encontro</w:t>
            </w:r>
          </w:p>
        </w:tc>
      </w:tr>
    </w:tbl>
    <w:p>
      <w:pPr>
        <w:pStyle w:val="HexaSection"/>
      </w:pPr>
      <w:r>
        <w:t>Módulo 1 — Linha de base e avaliação final</w:t>
      </w:r>
    </w:p>
    <w:p>
      <w:pPr/>
      <w:r>
        <w:t>Este módulo mede mudanças mais amplas ao longo da campanha. A linha de base registra o ponto de partida dos participantes. A avaliação final retoma os mesmos temas em linguagem de fechamento, permitindo comparação entre o momento anterior à campanha e o momento posterior.</w:t>
      </w:r>
    </w:p>
    <w:p>
      <w:pPr>
        <w:pStyle w:val="HexaSubsection"/>
      </w:pPr>
      <w:r>
        <w:t>Questionário de linha de base — parâmetros gerais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Aplicação prevista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Primeiro encontro, em papel e caneta, após os procedimentos éticos necessários.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Finalidade do instrumento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Mensurar repertórios ligados a participação em grupo, bullying, empatia, autoeficácia, contexto digital e processos relevantes da campanha.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Padrão de resposta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Itens escalares em Likert de 5 pontos.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Tempo estimado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8 a 12 minutos.</w:t>
            </w:r>
          </w:p>
        </w:tc>
      </w:tr>
    </w:tbl>
    <w:p>
      <w:pPr>
        <w:pStyle w:val="HexaSubsection"/>
      </w:pPr>
      <w:r>
        <w:t>Bloco 1 — Experiência prévia e hábitos</w:t>
      </w:r>
    </w:p>
    <w:p>
      <w:pPr>
        <w:pStyle w:val="HexaLead"/>
      </w:pPr>
      <w:r>
        <w:t>Escala: 1 Nunca | 2 Raramente | 3 Às vezes | 4 Frequentemente | 5 Quase sempre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Com que frequência você joga jogos de RPG, de mesa, digital ou parecidos com RPG?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Com que frequência você lê gibi, mangá, livro ou outro material por vontade própria?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Com que frequência você lê material da escola fora do horário de aula?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Perguntas abertas de hábitos</w:t>
      </w:r>
    </w:p>
    <w:p>
      <w:pPr>
        <w:pStyle w:val="HexaLabel"/>
      </w:pPr>
      <w:r>
        <w:t>Se você já jogou RPG, com qual sistema, jogo ou cenário teve contato?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Onde você costuma ler com mais frequência?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Subsection"/>
      </w:pPr>
      <w:r>
        <w:t>Bloco 2 — Disposição para aprender e participar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gosto de aprender em atividades com histórias, desafios e escolhas.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Quando uma atividade fica difícil, eu tento outra estratégia em vez de desistir.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pedir ajuda de um jeito que me faz avançar.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manter minha atenção em uma atividade até o final.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Mesmo quando erro, continuo tentando aprender.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trabalhar em equipe sem brigar.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3 — Compreensão sobre bullying e cyberbullying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Bullying acontece quando alguém machuca, humilha ou zoa outra pessoa de propósito.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Bullying costuma acontecer mais de uma vez, e não apenas uma única vez.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Bullying pode acontecer com apelidos, boatos e exclusão, e não só com agressão física.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Se a pessoa pede para parar e a ação continua, isso pode ser bullying.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Cyberbullying pode acontecer em redes sociais, grupos e mensagens.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Bullying pode prejudicar a saúde emocional, a aprendizagem e a vontade de ir à escola.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4 — Empatia e autoeficácia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percebo quando uma brincadeira passou do limite para o outro.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imaginar como a pessoa se sente quando é excluída ou humilhada.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me incomodo quando vejo alguém sendo tratado com crueldade.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apoiar a vítima depois do que aconteceu.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pedir para alguém parar sem piorar a situação.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sei a quem recorrer na escola se eu ou outra pessoa estiver em risco.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5 — Normas sociais, pertencimento e contexto digital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discordar quando meus amigos fazem algo que machuca outra pessoa.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Antes de postar, comentar ou compartilhar algo, eu penso nas consequências para os outros.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O que acontece online também pode machucar de verdade.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Cyberbullying pode ser tão grave quanto o bullying cara a cara.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sinto que posso contar com alguém na escola quando preciso de ajuda.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me sinto sozinho(a) na escola.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6 — Situações recentes</w:t>
      </w:r>
    </w:p>
    <w:p>
      <w:pPr>
        <w:pStyle w:val="HexaLead"/>
      </w:pPr>
      <w:r>
        <w:t>Escala: 1 Nunca | 2 Raramente | 3 Às vezes | 4 Muitas vezes | 5 Quase todos os dias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Vi alguém ser excluído, humilhado ou zoado de forma repetida na escola.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Vi alguém ser humilhado ou exposto em grupos online com gente da escola.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Sofri apelidos, zoações ou provocações repetidas.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Fui excluído(a) de propósito por colegas.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Vi colegas defenderem alguém que estava sendo maltratado.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Label"/>
      </w:pPr>
      <w:r>
        <w:t>Você já sofreu bullying em algum momento da vida?</w:t>
      </w:r>
    </w:p>
    <w:p>
      <w:pPr>
        <w:pStyle w:val="HexaField"/>
      </w:pPr>
      <w:r>
        <w:t>☐ Sim   ☐ Não</w:t>
      </w:r>
    </w:p>
    <w:p>
      <w:pPr>
        <w:pStyle w:val="HexaLabel"/>
      </w:pPr>
      <w:r>
        <w:t>Você já praticou bullying contra alguém em algum momento da vida?</w:t>
      </w:r>
    </w:p>
    <w:p>
      <w:pPr>
        <w:pStyle w:val="HexaField"/>
      </w:pPr>
      <w:r>
        <w:t>☐ Sim   ☐ Não</w:t>
      </w:r>
    </w:p>
    <w:p>
      <w:pPr>
        <w:pStyle w:val="HexaLabel"/>
      </w:pPr>
      <w:r>
        <w:t>Você usa redes sociais ou aplicativos de mensagem atualmente?</w:t>
      </w:r>
    </w:p>
    <w:p>
      <w:pPr>
        <w:pStyle w:val="HexaField"/>
      </w:pPr>
      <w:r>
        <w:t>☐ Sim   ☐ Não</w:t>
      </w:r>
    </w:p>
    <w:p>
      <w:pPr>
        <w:pStyle w:val="HexaSubsection"/>
      </w:pPr>
      <w:r>
        <w:t>Bloco 7 — Tomada de perspectiva e julgamento de situações</w:t>
      </w:r>
    </w:p>
    <w:p>
      <w:pPr>
        <w:pStyle w:val="HexaLead"/>
      </w:pPr>
      <w:r>
        <w:t>Escala: 1 Com certeza não é bullying | 2 Provavelmente não é bullying | 3 Não tenho certeza | 4 Provavelmente é bullying | 5 Com certeza é bullying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Um aluno recebe apelido ofensivo quase todo dia, pede para parar e continuam.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Dois amigos brincam e ambos riem; quando um pede para parar, a brincadeira para na hora.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Um grupo cria meme de um colega e espalha em grupos; o colega fica mal e evita ir à escola.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Uma discussão única em um jogo, sem repetição e sem humilhação contínua.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8 — Repertórios processuais relevantes para a campanha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Quando uma situação fica confusa, eu consigo observar melhor antes de reagir.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Quando algo me incomoda, eu consigo continuar na situação sem atacar ou sair na hora.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Quando percebo que entendi algo errado, eu consigo mudar de ideia.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Quando erro em grupo, eu consigo continuar colaborando.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ajudar alguém sem piorar a situação.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perceber quando uma situação está começando a sair do controle.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Label"/>
      </w:pPr>
      <w:r>
        <w:t>Quero conversar com alguém agora sobre esse assunto.</w:t>
      </w:r>
    </w:p>
    <w:p>
      <w:pPr>
        <w:pStyle w:val="HexaField"/>
      </w:pPr>
      <w:r>
        <w:t>☐ Sim   ☐ Não</w:t>
      </w:r>
    </w:p>
    <w:p>
      <w:r>
        <w:br w:type="page"/>
      </w:r>
    </w:p>
    <w:p>
      <w:pPr>
        <w:pStyle w:val="HexaSection"/>
      </w:pPr>
      <w:r>
        <w:t>Questionário final da campanha</w:t>
      </w:r>
    </w:p>
    <w:p>
      <w:pPr>
        <w:pStyle w:val="HexaSubsection"/>
      </w:pPr>
      <w:r>
        <w:t>Parâmetros gerais de encerramento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Objetivo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Obter, ao final da campanha, um retrato sintético das principais mudanças percebidas pelo participante.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Aplicação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Último encontro com a equipe, preferencialmente antes da discussão coletiva final.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Padrão de resposta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Itens escalares em Likert de 5 pontos.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Uso analítico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Comparação com a linha de base e avaliação global do percurso.</w:t>
            </w:r>
          </w:p>
        </w:tc>
      </w:tr>
    </w:tbl>
    <w:p>
      <w:pPr>
        <w:pStyle w:val="HexaSubsection"/>
      </w:pPr>
      <w:r>
        <w:t>Bloco A — Compreensão sobre bullying e cyberbullying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consigo identificar melhor a diferença entre brincadeira e bullying.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consigo reconhecer melhor quando há repetição e desequilíbrio de poder em uma situação de bullying.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consigo reconhecer melhor situações de cyberbullying.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entendo melhor que bullying pode acontecer também com exclusão, apelidos, boatos e humilhações.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B — Empatia e percepção do outro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percebo melhor quando uma brincadeira passou do limite para a outra pessoa.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penso mais em como a outra pessoa pode se sentir em uma situação de humilhação.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me sinto mais disposto(a) a apoiar alguém que esteja sendo humilhado(a).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C — Autoeficácia para intervir e pedir ajuda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sei melhor o que fazer quando vejo uma situação de bullying.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me sinto mais capaz de pedir ajuda a um adulto da escola quando necessário.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me sinto mais capaz de apoiar a vítima sem reforçar a humilhação.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me sinto mais capaz de não rir, compartilhar ou incentivar uma humilhação.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D — Aplicação do que foi aprendido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Desde o início da campanha, eu consegui usar em alguma situação real pelo menos uma estratégia aprendida no RPG.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O que aprendi no RPG pode ser útil na escola, na internet ou em outros lugares.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me sinto mais preparado(a) para agir com segurança diante de situações de bullying.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E — Repertórios processuais desenvolvidos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consigo observar melhor uma situação antes de reagir.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consigo rever minha primeira interpretação quando percebo que estava precipitado(a).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consigo continuar colaborando mesmo depois de errar.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consigo perceber melhor quando uma situação está piorando.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consigo agir para ajudar sem piorar a humilhação.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Depois da campanha, eu consigo lidar melhor com situações difíceis sem atacar ou desistir na hora.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F — Avaliação da campanha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O RPG Hexaverso me ajudou a aprender sobre convivência, bullying e formas de ajuda.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recomendaria esta campanha para outros estudantes.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Participar da campanha valeu a pena para mim.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Encerramento</w:t>
      </w:r>
    </w:p>
    <w:p>
      <w:pPr>
        <w:pStyle w:val="HexaLabel"/>
      </w:pPr>
      <w:r>
        <w:t>A principal coisa que eu levo desta campanha para a minha vida é: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Uma sugestão para melhorar a campanha para outra turma é: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Eu gostaria de conversar em particular com um adulto da escola ou com a equipe do projeto agora.</w:t>
      </w:r>
    </w:p>
    <w:p>
      <w:pPr>
        <w:pStyle w:val="HexaField"/>
      </w:pPr>
      <w:r>
        <w:t>☐ Sim   ☐ Não</w:t>
      </w:r>
    </w:p>
    <w:p>
      <w:r>
        <w:br w:type="page"/>
      </w:r>
    </w:p>
    <w:p>
      <w:pPr>
        <w:pStyle w:val="HexaSection"/>
      </w:pPr>
      <w:r>
        <w:t>Módulo 2 — Monitoramento pós-sessão</w:t>
      </w:r>
    </w:p>
    <w:p>
      <w:pPr/>
      <w:r>
        <w:t>Este módulo acompanha a experiência de cada encontro em tempo próximo à sessão. O objetivo é monitorar aprendizagem percebida, engajamento, clareza, segurança para participar e possibilidade de aplicação fora do RPG, além de incluir dois itens processuais ajustáveis ao eixo focal do capítulo.</w:t>
      </w:r>
    </w:p>
    <w:p>
      <w:pPr>
        <w:pStyle w:val="HexaSubsection"/>
      </w:pPr>
      <w:r>
        <w:t>Questionário pós-sessão — parâmetros gerais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Objetivo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Monitorar, ao final de cada sessão, indicadores breves de compreensão do tema, clima do grupo, engajamento e possibilidade de aplicação.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Aplicação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Preenchimento individual e silencioso nos 5 minutos finais da sessão.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Estrutura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Núcleo fixo + dois itens processuais ajustáveis ao capítulo.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Padrão de resposta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Likert de 5 pontos.</w:t>
            </w:r>
          </w:p>
        </w:tc>
      </w:tr>
    </w:tbl>
    <w:p>
      <w:pPr>
        <w:pStyle w:val="HexaSubsection"/>
      </w:pPr>
      <w:r>
        <w:t>Bloco A — Aprendizagem e compreensão da sessão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Hoje eu entendi melhor o tema trabalhado nesta sessão e por que ele é importante.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Hoje eu aprendi pelo menos uma estratégia concreta para lidar com situações parecidas com as do RPG.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consigo pensar em uma situação fora do RPG em que eu posso usar o que aprendi hoje.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pretendo aplicar algo do que vimos hoje fora do RPG.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B — Empatia, respeito e segurança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Hoje eu consegui me colocar no lugar de algum personagem e entender melhor seus sentimentos ou motivos.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Hoje eu consegui participar do grupo de forma respeitosa.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Eu me senti respeitado(a) e seguro(a) para participar da sessão.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C — Qualidade da sessão</w:t>
      </w:r>
    </w:p>
    <w:p>
      <w:pPr>
        <w:pStyle w:val="HexaLead"/>
      </w:pPr>
      <w:r>
        <w:t>Escala: 1 Discordo totalmente | 2 Discordo | 3 Nem discordo nem concordo | 4 Concordo | 5 Concordo totalmente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05"/>
        <w:gridCol w:w="605"/>
        <w:gridCol w:w="605"/>
        <w:gridCol w:w="605"/>
        <w:gridCol w:w="605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4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5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Hoje eu me envolvi com a história e com as decisões do RPG.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As regras, os objetivos e a proposta da sessão ficaram claros para mim.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A sessão de hoje me ajudou a pensar melhor sobre situações de convivência e bullying.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</w:tr>
    </w:tbl>
    <w:p>
      <w:pPr>
        <w:pStyle w:val="HexaSubsection"/>
      </w:pPr>
      <w:r>
        <w:t>Bloco D — Itens processuais do capítulo</w:t>
      </w:r>
    </w:p>
    <w:p>
      <w:pPr/>
      <w:r>
        <w:t>Selecionar, antes da sessão, dois itens do banco abaixo que melhor expressem o eixo focal do capítulo.</w:t>
      </w:r>
    </w:p>
    <w:p>
      <w:pPr>
        <w:ind w:left="200"/>
      </w:pPr>
      <w:r>
        <w:t>• Hoje eu percebi melhor como uma situação pode piorar antes de ficar óbvia.</w:t>
      </w:r>
    </w:p>
    <w:p>
      <w:pPr>
        <w:ind w:left="200"/>
      </w:pPr>
      <w:r>
        <w:t>• Hoje eu consegui pensar antes de reagir a uma provocação.</w:t>
      </w:r>
    </w:p>
    <w:p>
      <w:pPr>
        <w:ind w:left="200"/>
      </w:pPr>
      <w:r>
        <w:t>• Hoje eu percebi melhor como apoiar alguém sem humilhar de volta.</w:t>
      </w:r>
    </w:p>
    <w:p>
      <w:pPr>
        <w:ind w:left="200"/>
      </w:pPr>
      <w:r>
        <w:t>• Hoje eu consegui notar sinais importantes na situação.</w:t>
      </w:r>
    </w:p>
    <w:p>
      <w:pPr>
        <w:ind w:left="200"/>
      </w:pPr>
      <w:r>
        <w:t>• Hoje eu consegui olhar para a situação de mais de um jeito.</w:t>
      </w:r>
    </w:p>
    <w:p>
      <w:pPr>
        <w:ind w:left="200"/>
      </w:pPr>
      <w:r>
        <w:t>• Hoje eu consegui continuar participando mesmo quando a cena ficou desconfortável.</w:t>
      </w:r>
    </w:p>
    <w:p>
      <w:pPr>
        <w:ind w:left="200"/>
      </w:pPr>
      <w:r>
        <w:t>• Hoje eu percebi melhor a diferença entre agir rápido e agir de forma útil.</w:t>
      </w:r>
    </w:p>
    <w:p>
      <w:pPr>
        <w:ind w:left="200"/>
      </w:pPr>
      <w:r>
        <w:t>• Hoje eu consegui entender melhor como pedir ajuda pode mudar uma situação.</w:t>
      </w:r>
    </w:p>
    <w:p>
      <w:pPr>
        <w:pStyle w:val="HexaSubsection"/>
      </w:pPr>
      <w:r>
        <w:t>Registro dos dois itens escolhidos para o capítulo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5472"/>
      </w:tblGrid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 processual 1 do capítulo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Item processual 2 do capítulo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</w:tbl>
    <w:p>
      <w:pPr>
        <w:pStyle w:val="HexaSubsection"/>
      </w:pPr>
      <w:r>
        <w:t>Bloco E — Feedback breve</w:t>
      </w:r>
    </w:p>
    <w:p>
      <w:pPr>
        <w:pStyle w:val="HexaLabel"/>
      </w:pPr>
      <w:r>
        <w:t>A melhor parte da sessão foi: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Algo que poderia melhorar na próxima sessão: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Eu gostaria de conversar em particular com um adulto da escola ou com a equipe do projeto agora.</w:t>
      </w:r>
    </w:p>
    <w:p>
      <w:pPr>
        <w:pStyle w:val="HexaField"/>
      </w:pPr>
      <w:r>
        <w:t>☐ Sim   ☐ Não</w:t>
      </w:r>
    </w:p>
    <w:p>
      <w:r>
        <w:br w:type="page"/>
      </w:r>
    </w:p>
    <w:p>
      <w:pPr>
        <w:pStyle w:val="HexaSection"/>
      </w:pPr>
      <w:r>
        <w:t>Módulo 3 — Fichas complementares do mestre-auxiliar</w:t>
      </w:r>
    </w:p>
    <w:p>
      <w:pPr/>
      <w:r>
        <w:t>Estas fichas não substituem a Ficha Principal do Mestre-Auxiliar revisada. Sua função é complementar o registro central da sessão com observações rápidas, documentação de episódios específicos, acompanhamento de prompts e independência, checagem de fidelidade e manejo de risco.</w:t>
      </w:r>
    </w:p>
    <w:p>
      <w:pPr>
        <w:ind w:left="200"/>
      </w:pPr>
      <w:r>
        <w:t>• Descrever respostas observáveis, evitando rótulos internos ou explicações mentalistas.</w:t>
      </w:r>
    </w:p>
    <w:p>
      <w:pPr>
        <w:ind w:left="200"/>
      </w:pPr>
      <w:r>
        <w:t>• Registrar, quando possível, antecedente, resposta observada e consequência imediata.</w:t>
      </w:r>
    </w:p>
    <w:p>
      <w:pPr>
        <w:ind w:left="200"/>
      </w:pPr>
      <w:r>
        <w:t>• Separar claramente descrição do fato, intervenção realizada e hipótese funcional útil.</w:t>
      </w:r>
    </w:p>
    <w:p>
      <w:pPr>
        <w:ind w:left="200"/>
      </w:pPr>
      <w:r>
        <w:t>• Usar a ficha de ocorrência sensível sempre que houver risco, ameaça, violência ou necessidade de proteção.</w:t>
      </w:r>
    </w:p>
    <w:p>
      <w:pPr>
        <w:pStyle w:val="HexaSubsection"/>
      </w:pPr>
      <w:r>
        <w:t>Ficha 1 — Identificação da sessão e foco de observação</w:t>
      </w:r>
    </w:p>
    <w:p>
      <w:pPr>
        <w:pStyle w:val="HexaSubsection"/>
      </w:pPr>
      <w:r>
        <w:t>Identificação básica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5472"/>
      </w:tblGrid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Escola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Turma / grupo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Sessão nº / Data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Capítulo / tema / local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Mestre principal / Mestre-auxiliar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</w:tbl>
    <w:p>
      <w:pPr>
        <w:pStyle w:val="HexaSubsection"/>
      </w:pPr>
      <w:r>
        <w:t>Contexto inicial</w:t>
      </w:r>
    </w:p>
    <w:p>
      <w:pPr>
        <w:pStyle w:val="HexaLabel"/>
      </w:pPr>
      <w:r>
        <w:t>Participantes presentes (IDs):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Ausências / entradas tardias / saídas antecipadas: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Evento contextual relevante antes do início da sessão: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Subsection"/>
      </w:pPr>
      <w:r>
        <w:t>Planejamento observacional da sessão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5472"/>
      </w:tblGrid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Eixo focal do capítulo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Repertórios sociais prioritários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apoio / defesa; mediação / regulação; pedir ajuda; não reforçar humilhação; respeito / turnos; participação cooperativa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Repertórios processuais prioritários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leitura de sinais; permanência sob pressão; revisão de leitura automática; retomada após erro; coordenação com pares; reparação após dano</w:t>
            </w:r>
          </w:p>
        </w:tc>
      </w:tr>
    </w:tbl>
    <w:p>
      <w:pPr>
        <w:pStyle w:val="HexaSubsection"/>
      </w:pPr>
      <w:r>
        <w:t>Ficha 2 — Mapa rápido de observação individual</w:t>
      </w:r>
    </w:p>
    <w:p>
      <w:pPr/>
      <w:r>
        <w:t>Registrar somente repertórios observáveis durante a sessão. Escala sugerida: 0 = não observado; 1 = observado de forma pontual; 2 = observado de forma clara ou recorrente.</w:t>
      </w:r>
    </w:p>
    <w:p>
      <w:pPr>
        <w:pStyle w:val="HexaLead"/>
      </w:pPr>
      <w:r>
        <w:t>Bloco A — repertórios sociais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1368"/>
        <w:gridCol w:w="1368"/>
        <w:gridCol w:w="1584"/>
        <w:gridCol w:w="1368"/>
        <w:gridCol w:w="1440"/>
        <w:gridCol w:w="1872"/>
      </w:tblGrid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ID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Respeito / turnos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Apoio / defesa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Não reforça humilhação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Pede ajuda funcional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Mediação / regulação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Observação breve</w:t>
            </w:r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J1G_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J2G_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J3G_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J4G_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J5G_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J6G_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</w:tbl>
    <w:p>
      <w:pPr>
        <w:pStyle w:val="HexaLead"/>
      </w:pPr>
      <w:r>
        <w:t>Bloco B — repertórios processuais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"/>
        <w:gridCol w:w="2232"/>
        <w:gridCol w:w="1944"/>
        <w:gridCol w:w="2232"/>
        <w:gridCol w:w="1728"/>
        <w:gridCol w:w="1584"/>
      </w:tblGrid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ID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Presença / leitura de contexto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Permanência sob pressão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Revisão de leitura automática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Retomada após erro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Observação breve</w:t>
            </w:r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J1G_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J2G_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J3G_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J4G_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J5G_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Label"/>
              <w:spacing w:after="0" w:before="0"/>
              <w:jc w:val="center"/>
            </w:pPr>
            <w:r>
              <w:t>J6G_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0  1  2</w:t>
            </w:r>
          </w:p>
        </w:tc>
        <w:tc>
          <w:tcPr>
            <w:tcW w:type="dxa" w:w="180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</w:tbl>
    <w:p>
      <w:pPr>
        <w:pStyle w:val="HexaSubsection"/>
      </w:pPr>
      <w:r>
        <w:t>Ficha 3 — Registro ABC / contingência relevante</w:t>
      </w:r>
    </w:p>
    <w:p>
      <w:pPr/>
      <w:r>
        <w:t>Aplicar em episódios importantes da sessão, especialmente quando houver exclusão, humilhação, apoio, proteção, pedido de ajuda, escalada coercitiva, reparação ou mudança clara após intervenção.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"/>
        <w:gridCol w:w="1008"/>
        <w:gridCol w:w="1008"/>
        <w:gridCol w:w="1440"/>
        <w:gridCol w:w="1440"/>
        <w:gridCol w:w="1296"/>
        <w:gridCol w:w="1152"/>
        <w:gridCol w:w="1296"/>
        <w:gridCol w:w="864"/>
        <w:gridCol w:w="1296"/>
      </w:tblGrid>
      <w:tr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Hora</w:t>
            </w:r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Momento crítico</w:t>
            </w:r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Participante(s)</w:t>
            </w:r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Antecedente / contexto</w:t>
            </w:r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Resposta observada</w:t>
            </w:r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Consequência imediata</w:t>
            </w:r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Intervenção</w:t>
            </w:r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Produto agregado / relação</w:t>
            </w:r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Culturante</w:t>
            </w:r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Função / hipótese útil</w:t>
            </w:r>
          </w:p>
        </w:tc>
      </w:tr>
      <w:tr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  <w:tr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  <w:tc>
          <w:tcPr>
            <w:tcW w:type="dxa" w:w="1082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/>
          </w:p>
        </w:tc>
      </w:tr>
    </w:tbl>
    <w:p>
      <w:pPr>
        <w:pStyle w:val="HexaSubsection"/>
      </w:pPr>
      <w:r>
        <w:t>Ficha 4 — Registro de prompts, mediação e independência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"/>
        <w:gridCol w:w="1152"/>
        <w:gridCol w:w="1440"/>
        <w:gridCol w:w="1584"/>
        <w:gridCol w:w="1656"/>
        <w:gridCol w:w="1440"/>
        <w:gridCol w:w="936"/>
      </w:tblGrid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ID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Momento crítico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Situação-alvo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Prompt / ajuda oferecida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Antes da emissão ou após falha inicial?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Resposta após ajuda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Nível final</w:t>
            </w:r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J1G_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J2G_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J3G_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J4G_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J5G_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</w:tr>
      <w:tr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J6G_</w:t>
            </w:r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  <w:tc>
          <w:tcPr>
            <w:tcW w:type="dxa" w:w="1546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left"/>
            </w:pPr>
            <w:r/>
          </w:p>
        </w:tc>
      </w:tr>
    </w:tbl>
    <w:p>
      <w:pPr>
        <w:pStyle w:val="HexaLead"/>
      </w:pPr>
      <w:r>
        <w:t>Código para nível final: I = independente; PL = com prompt leve; PM = com prompt mais intenso / modelação direta.</w:t>
      </w:r>
    </w:p>
    <w:p>
      <w:pPr>
        <w:pStyle w:val="HexaSubsection"/>
      </w:pPr>
      <w:r>
        <w:t>Ficha 5 — Clima grupal, segurança e fidelidade da sessão</w:t>
      </w:r>
    </w:p>
    <w:p>
      <w:pPr/>
      <w:r>
        <w:t>Assinalar ao final da sessão. Usar 1 = baixo / insuficiente; 2 = intermediário; 3 = adequado / claro.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48"/>
        <w:gridCol w:w="648"/>
        <w:gridCol w:w="648"/>
        <w:gridCol w:w="648"/>
        <w:gridCol w:w="1800"/>
      </w:tblGrid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Indicador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1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2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3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  <w:jc w:val="center"/>
            </w:pPr>
            <w:r>
              <w:t>Observação breve</w:t>
            </w: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Compreensão das regras e objetivos da sessão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Participação equilibrada entre os membros do grupo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Turnos de fala respeitados / baixa interrupção hostil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Clima de segurança para participar e errar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Oportunidades de empatia e perspectiva do outro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Oportunidades de assertividade sem agressão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Tema do capítulo foi efetivamente trabalhado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Momentos críticos previstos apareceram de forma observável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Eixo focal do capítulo foi evocado na prática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Houve oportunidade real de coordenação grupal relevante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  <w:tr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spacing w:after="0" w:before="0"/>
            </w:pPr>
            <w:r>
              <w:t>Necessidade de manejo adicional de conflito / risco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  <w:jc w:val="center"/>
            </w:pPr>
            <w:r>
              <w:t>☐</w:t>
            </w:r>
          </w:p>
        </w:tc>
        <w:tc>
          <w:tcPr>
            <w:tcW w:type="dxa" w:w="2164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</w:p>
        </w:tc>
      </w:tr>
    </w:tbl>
    <w:p>
      <w:pPr>
        <w:pStyle w:val="HexaSubsection"/>
      </w:pPr>
      <w:r>
        <w:t>Ficha 6 — Ocorrência sensível, risco e encaminhamento</w:t>
      </w:r>
    </w:p>
    <w:p>
      <w:pPr>
        <w:pStyle w:val="HexaSubsection"/>
      </w:pPr>
      <w:r>
        <w:t>Identificação da ocorrência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5472"/>
      </w:tblGrid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Data / Sessão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Grupo / participante(s) envolvidos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Risco percebido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☐ baixo   ☐ moderado   ☐ alto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Pessoa / setor acionado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Encaminhamento realizado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  <w:shd w:fill="EEE8FF"/>
          </w:tcPr>
          <w:p>
            <w:pPr>
              <w:pStyle w:val="HexaLabel"/>
              <w:spacing w:after="0" w:before="0"/>
            </w:pPr>
            <w:r>
              <w:t>Necessidade de acompanhamento posterior</w:t>
            </w:r>
          </w:p>
        </w:tc>
        <w:tc>
          <w:tcPr>
            <w:tcW w:type="dxa" w:w="5411"/>
            <w:tcBorders>
              <w:left w:val="single" w:sz="12" w:color="D9CFFF"/>
              <w:top w:val="single" w:sz="12" w:color="D9CFFF"/>
              <w:right w:val="single" w:sz="12" w:color="D9CFFF"/>
              <w:bottom w:val="single" w:sz="12" w:color="D9CFFF"/>
            </w:tcBorders>
            <w:vAlign w:val="top"/>
          </w:tcPr>
          <w:p>
            <w:pPr>
              <w:pStyle w:val="HexaField"/>
              <w:spacing w:after="0" w:before="0"/>
            </w:pPr>
            <w:r>
              <w:t>____________________________________________</w:t>
            </w:r>
          </w:p>
        </w:tc>
      </w:tr>
    </w:tbl>
    <w:p>
      <w:pPr>
        <w:pStyle w:val="HexaSubsection"/>
      </w:pPr>
      <w:r>
        <w:t>Descrição objetiva da ocorrência e intervenção imediata</w:t>
      </w:r>
    </w:p>
    <w:p>
      <w:pPr>
        <w:pStyle w:val="HexaLabel"/>
      </w:pPr>
      <w:r>
        <w:t>Descrição objetiva da ocorrência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Intervenção imediata realizada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Subsection"/>
      </w:pPr>
      <w:r>
        <w:t>Ficha 7 — Síntese pós-sessão do mestre-auxiliar</w:t>
      </w:r>
    </w:p>
    <w:p>
      <w:pPr>
        <w:pStyle w:val="HexaLabel"/>
      </w:pPr>
      <w:r>
        <w:t>1. Repertórios que avançaram nesta sessão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2. Barreiras ou dificuldades observadas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3. Participantes que merecem atenção especial na próxima sessão e por quê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4. O que vale manter da condução desta sessão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pPr>
        <w:pStyle w:val="HexaLabel"/>
      </w:pPr>
      <w:r>
        <w:t>5. Ajustes recomendados para o próximo encontro</w:t>
      </w:r>
    </w:p>
    <w:p>
      <w:pPr>
        <w:pStyle w:val="HexaField"/>
      </w:pPr>
      <w:r>
        <w:t>____________________________________________________________</w:t>
      </w:r>
    </w:p>
    <w:p>
      <w:pPr>
        <w:pStyle w:val="HexaField"/>
      </w:pPr>
      <w:r>
        <w:t>____________________________________________________________</w:t>
      </w:r>
    </w:p>
    <w:p>
      <w:r>
        <w:br w:type="page"/>
      </w:r>
    </w:p>
    <w:p>
      <w:pPr>
        <w:pStyle w:val="HexaSection"/>
      </w:pPr>
      <w:r>
        <w:t>Módulo 4 — Orientações metodológicas</w:t>
      </w:r>
    </w:p>
    <w:p>
      <w:pPr/>
      <w:r>
        <w:t>Este módulo organiza a sequência de aplicação, a relação entre este anexo e os demais instrumentos do Hexaverso e as orientações gerais de análise e segurança.</w:t>
      </w:r>
    </w:p>
    <w:p>
      <w:pPr>
        <w:pStyle w:val="HexaSubsection"/>
      </w:pPr>
      <w:r>
        <w:t>Sequência de aplicação</w:t>
      </w:r>
    </w:p>
    <w:p>
      <w:pPr>
        <w:ind w:left="200"/>
      </w:pPr>
      <w:r>
        <w:t>• Antes da campanha: aplicar a linha de base.</w:t>
      </w:r>
    </w:p>
    <w:p>
      <w:pPr>
        <w:ind w:left="200"/>
      </w:pPr>
      <w:r>
        <w:t>• Antes de cada sessão: preencher a ficha de identificação e foco de observação.</w:t>
      </w:r>
    </w:p>
    <w:p>
      <w:pPr>
        <w:ind w:left="200"/>
      </w:pPr>
      <w:r>
        <w:t>• Durante a sessão: usar a ficha principal como centro; recorrer ao mapa rápido, ABC e prompts quando necessário.</w:t>
      </w:r>
    </w:p>
    <w:p>
      <w:pPr>
        <w:ind w:left="200"/>
      </w:pPr>
      <w:r>
        <w:t>• Ao final da sessão: preencher clima/fidelidade, síntese pós-sessão e aplicar o questionário pós-sessão aos participantes.</w:t>
      </w:r>
    </w:p>
    <w:p>
      <w:pPr>
        <w:ind w:left="200"/>
      </w:pPr>
      <w:r>
        <w:t>• Se houver situação sensível: preencher a ficha de ocorrência e seguir o fluxo de proteção.</w:t>
      </w:r>
    </w:p>
    <w:p>
      <w:pPr>
        <w:ind w:left="200"/>
      </w:pPr>
      <w:r>
        <w:t>• No encerramento da campanha: aplicar o questionário final.</w:t>
      </w:r>
    </w:p>
    <w:p>
      <w:pPr>
        <w:pStyle w:val="HexaSubsection"/>
      </w:pPr>
      <w:r>
        <w:t>Relação com os outros anexos</w:t>
      </w:r>
    </w:p>
    <w:p>
      <w:pPr>
        <w:ind w:left="200"/>
      </w:pPr>
      <w:r>
        <w:t>• O Anexo 1 continua sendo o centro do sistema observacional da sessão.</w:t>
      </w:r>
    </w:p>
    <w:p>
      <w:pPr>
        <w:ind w:left="200"/>
      </w:pPr>
      <w:r>
        <w:t>• O Anexo 2 sintetiza o plano individual em linguagem Hexaflex a partir da sessão.</w:t>
      </w:r>
    </w:p>
    <w:p>
      <w:pPr>
        <w:ind w:left="200"/>
      </w:pPr>
      <w:r>
        <w:t>• O Anexo 3 transforma esses registros em devolutiva, discriminação e preparação da próxima sessão.</w:t>
      </w:r>
    </w:p>
    <w:p>
      <w:pPr>
        <w:ind w:left="200"/>
      </w:pPr>
      <w:r>
        <w:t>• O Anexo 5 amplia a capacidade de medir mudança pré-pós, monitorar experiência por sessão, documentar episódios específicos, registrar independência da resposta e acompanhar fidelidade de implementação.</w:t>
      </w:r>
    </w:p>
    <w:p>
      <w:pPr>
        <w:pStyle w:val="HexaSubsection"/>
      </w:pPr>
      <w:r>
        <w:t>Análise de dados</w:t>
      </w:r>
    </w:p>
    <w:p>
      <w:pPr/>
      <w:r>
        <w:t>Os dados poderão ser analisados por estatística descritiva, com frequências, médias, medianas, desvios-padrão e intervalos interquartis. Itens Likert podem ser codificados de 1 a 5. Comparações entre linha de base e avaliação final podem usar Wilcoxon e McNemar. Havendo três ou mais momentos de avaliação, podem ser empregados Friedman e modelos mistos compatíveis com medidas repetidas. Respostas ausentes, recusa ou não compreensão devem ser tratadas como ausentes para escore, mas descritas separadamente.</w:t>
      </w:r>
    </w:p>
    <w:p>
      <w:pPr>
        <w:pStyle w:val="HexaSubsection"/>
      </w:pPr>
      <w:r>
        <w:t>Observação final</w:t>
      </w:r>
    </w:p>
    <w:p>
      <w:pPr/>
      <w:r>
        <w:t>Nenhum destes instrumentos configura teste psicológico padronizado. Todos são registros de repertórios, mudanças percebidas, qualidade de implementação e efeitos educacionais do RPG. O Anexo 5 funciona bem quando cada peça cumpre sua função específica e todas juntas reforçam a arquitetura central já estabelecida pelos demais anexos.</w:t>
      </w:r>
    </w:p>
    <w:sectPr w:rsidR="00FC693F" w:rsidRPr="0006063C" w:rsidSect="00034616">
      <w:footerReference w:type="default" r:id="rId9"/>
      <w:pgSz w:w="12240" w:h="15840"/>
      <w:pgMar w:top="680" w:right="709" w:bottom="68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/>
        <w:color w:val="8C84AA"/>
        <w:sz w:val="24"/>
      </w:rPr>
      <w:t>Hexaverso | Anexo 5 revisado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mbria" w:hAnsi="Cambria"/>
      <w:color w:val="2A2A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exaTopTitle">
    <w:name w:val="HexaTopTitle"/>
    <w:basedOn w:val="Normal"/>
    <w:pPr>
      <w:spacing w:after="200"/>
    </w:pPr>
    <w:rPr>
      <w:rFonts w:ascii="Cambria" w:hAnsi="Cambria"/>
      <w:b/>
      <w:sz w:val="48"/>
    </w:rPr>
  </w:style>
  <w:style w:type="paragraph" w:customStyle="1" w:styleId="HexaBanner">
    <w:name w:val="HexaBanner"/>
    <w:basedOn w:val="Normal"/>
    <w:pPr>
      <w:spacing w:after="0" w:line="240" w:lineRule="auto"/>
    </w:pPr>
    <w:rPr>
      <w:rFonts w:ascii="Cambria" w:hAnsi="Cambria"/>
      <w:b w:val="0"/>
      <w:sz w:val="26"/>
    </w:rPr>
  </w:style>
  <w:style w:type="paragraph" w:customStyle="1" w:styleId="HexaLead">
    <w:name w:val="HexaLead"/>
    <w:basedOn w:val="Normal"/>
    <w:pPr>
      <w:spacing w:after="200" w:line="259" w:lineRule="auto"/>
    </w:pPr>
    <w:rPr>
      <w:rFonts w:ascii="Cambria" w:hAnsi="Cambria"/>
      <w:i/>
      <w:color w:val="666070"/>
      <w:sz w:val="26"/>
    </w:rPr>
  </w:style>
  <w:style w:type="paragraph" w:customStyle="1" w:styleId="HexaSection">
    <w:name w:val="HexaSection"/>
    <w:basedOn w:val="Normal"/>
    <w:pPr>
      <w:spacing w:before="160" w:after="80"/>
    </w:pPr>
    <w:rPr>
      <w:rFonts w:ascii="Cambria" w:hAnsi="Cambria"/>
      <w:b/>
      <w:color w:val="5C3FC0"/>
      <w:sz w:val="30"/>
    </w:rPr>
  </w:style>
  <w:style w:type="paragraph" w:customStyle="1" w:styleId="HexaSubsection">
    <w:name w:val="HexaSubsection"/>
    <w:basedOn w:val="Normal"/>
    <w:pPr>
      <w:spacing w:before="120" w:after="40"/>
    </w:pPr>
    <w:rPr>
      <w:rFonts w:ascii="Cambria" w:hAnsi="Cambria"/>
      <w:b/>
      <w:color w:val="5C3FC0"/>
      <w:sz w:val="25"/>
    </w:rPr>
  </w:style>
  <w:style w:type="paragraph" w:customStyle="1" w:styleId="HexaSmall">
    <w:name w:val="HexaSmall"/>
    <w:basedOn w:val="Normal"/>
    <w:pPr>
      <w:spacing w:after="80" w:line="240" w:lineRule="auto"/>
    </w:pPr>
    <w:rPr>
      <w:rFonts w:ascii="Cambria" w:hAnsi="Cambria"/>
      <w:color w:val="6F6883"/>
      <w:sz w:val="19"/>
    </w:rPr>
  </w:style>
  <w:style w:type="paragraph" w:customStyle="1" w:styleId="HexaLabel">
    <w:name w:val="HexaLabel"/>
    <w:basedOn w:val="Normal"/>
    <w:pPr>
      <w:spacing w:after="20"/>
    </w:pPr>
    <w:rPr>
      <w:rFonts w:ascii="Cambria" w:hAnsi="Cambria"/>
      <w:b/>
      <w:color w:val="2A2A2A"/>
      <w:sz w:val="22"/>
    </w:rPr>
  </w:style>
  <w:style w:type="paragraph" w:customStyle="1" w:styleId="HexaField">
    <w:name w:val="HexaField"/>
    <w:basedOn w:val="Normal"/>
    <w:pPr>
      <w:spacing w:after="40" w:line="240" w:lineRule="auto"/>
    </w:pPr>
    <w:rPr>
      <w:rFonts w:ascii="Cambria" w:hAnsi="Cambria"/>
      <w:sz w:val="21"/>
    </w:rPr>
  </w:style>
  <w:style w:type="paragraph" w:customStyle="1" w:styleId="HexaMomentTitle">
    <w:name w:val="HexaMomentTitle"/>
    <w:basedOn w:val="Normal"/>
    <w:pPr>
      <w:spacing w:after="80"/>
    </w:pPr>
    <w:rPr>
      <w:rFonts w:ascii="Cambria" w:hAnsi="Cambria"/>
      <w:b/>
      <w:color w:val="5C3FC0"/>
      <w:sz w:val="2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