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52DB6" w14:textId="77777777" w:rsidR="00C7692A" w:rsidRPr="00EA11BC" w:rsidRDefault="00C7692A" w:rsidP="00C7692A">
      <w:pPr>
        <w:ind w:left="113"/>
        <w:jc w:val="center"/>
        <w:rPr>
          <w:rFonts w:ascii="Cambria" w:eastAsia="MS Mincho" w:hAnsi="Cambria" w:cs="Times New Roman"/>
          <w:sz w:val="40"/>
          <w:szCs w:val="40"/>
          <w:lang w:val="pt-BR"/>
        </w:rPr>
      </w:pPr>
      <w:r w:rsidRPr="00EA11BC">
        <w:rPr>
          <w:rFonts w:ascii="Arial" w:eastAsia="MS Mincho" w:hAnsi="Arial" w:cs="Times New Roman"/>
          <w:b/>
          <w:color w:val="E67AB2"/>
          <w:sz w:val="40"/>
          <w:szCs w:val="40"/>
          <w:lang w:val="pt-BR"/>
        </w:rPr>
        <w:t xml:space="preserve">Anexo 4: </w:t>
      </w:r>
      <w:r w:rsidRPr="00EA11BC">
        <w:rPr>
          <w:rFonts w:ascii="Arial" w:eastAsia="MS Mincho" w:hAnsi="Arial" w:cs="Times New Roman"/>
          <w:color w:val="232323"/>
          <w:sz w:val="40"/>
          <w:szCs w:val="40"/>
          <w:lang w:val="pt-BR"/>
        </w:rPr>
        <w:t>Companion Logs e Conquistas</w:t>
      </w:r>
    </w:p>
    <w:p w14:paraId="1E8B3BB3" w14:textId="0F9C6ED1" w:rsidR="003055E8" w:rsidRPr="006222B7" w:rsidRDefault="00E7444B">
      <w:pPr>
        <w:pStyle w:val="Heading1"/>
        <w:spacing w:after="80" w:line="264" w:lineRule="auto"/>
        <w:rPr>
          <w:lang w:val="pt-BR"/>
        </w:rPr>
      </w:pPr>
      <w:r w:rsidRPr="006222B7">
        <w:rPr>
          <w:lang w:val="pt-BR"/>
        </w:rPr>
        <w:t>Ficha curta de submissão do Companion Log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6520"/>
      </w:tblGrid>
      <w:tr w:rsidR="003055E8" w14:paraId="3CF43986" w14:textId="77777777">
        <w:trPr>
          <w:jc w:val="center"/>
        </w:trPr>
        <w:tc>
          <w:tcPr>
            <w:tcW w:w="2551" w:type="dxa"/>
            <w:shd w:val="clear" w:color="auto" w:fill="EEE5F5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E7DFB6C" w14:textId="77777777" w:rsidR="003055E8" w:rsidRDefault="00E7444B">
            <w:r>
              <w:rPr>
                <w:b/>
                <w:color w:val="4B1D6F"/>
              </w:rPr>
              <w:t>Sessão Experimental</w:t>
            </w:r>
          </w:p>
        </w:tc>
        <w:tc>
          <w:tcPr>
            <w:tcW w:w="6520" w:type="dxa"/>
            <w:shd w:val="clear" w:color="auto" w:fill="FFFFFF"/>
            <w:tcMar>
              <w:top w:w="180" w:type="dxa"/>
              <w:left w:w="110" w:type="dxa"/>
              <w:bottom w:w="300" w:type="dxa"/>
              <w:right w:w="110" w:type="dxa"/>
            </w:tcMar>
          </w:tcPr>
          <w:p w14:paraId="22233D52" w14:textId="77777777" w:rsidR="003055E8" w:rsidRDefault="00E7444B">
            <w:r>
              <w:t xml:space="preserve"> </w:t>
            </w:r>
          </w:p>
        </w:tc>
      </w:tr>
      <w:tr w:rsidR="003055E8" w14:paraId="4E7F9F0A" w14:textId="77777777">
        <w:trPr>
          <w:jc w:val="center"/>
        </w:trPr>
        <w:tc>
          <w:tcPr>
            <w:tcW w:w="2551" w:type="dxa"/>
            <w:shd w:val="clear" w:color="auto" w:fill="EEE5F5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04F8F24" w14:textId="77777777" w:rsidR="003055E8" w:rsidRDefault="00E7444B">
            <w:r>
              <w:rPr>
                <w:b/>
                <w:color w:val="4B1D6F"/>
              </w:rPr>
              <w:t>Material consultado</w:t>
            </w:r>
          </w:p>
        </w:tc>
        <w:tc>
          <w:tcPr>
            <w:tcW w:w="6520" w:type="dxa"/>
            <w:shd w:val="clear" w:color="auto" w:fill="FFFFFF"/>
            <w:tcMar>
              <w:top w:w="180" w:type="dxa"/>
              <w:left w:w="110" w:type="dxa"/>
              <w:bottom w:w="300" w:type="dxa"/>
              <w:right w:w="110" w:type="dxa"/>
            </w:tcMar>
          </w:tcPr>
          <w:p w14:paraId="07331A2B" w14:textId="77777777" w:rsidR="003055E8" w:rsidRDefault="00E7444B">
            <w:r>
              <w:t xml:space="preserve"> </w:t>
            </w:r>
          </w:p>
        </w:tc>
      </w:tr>
      <w:tr w:rsidR="003055E8" w14:paraId="46F07667" w14:textId="77777777">
        <w:trPr>
          <w:jc w:val="center"/>
        </w:trPr>
        <w:tc>
          <w:tcPr>
            <w:tcW w:w="2551" w:type="dxa"/>
            <w:shd w:val="clear" w:color="auto" w:fill="EEE5F5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1052C6D" w14:textId="77777777" w:rsidR="003055E8" w:rsidRDefault="00E7444B">
            <w:r>
              <w:rPr>
                <w:b/>
                <w:color w:val="4B1D6F"/>
              </w:rPr>
              <w:t>Ideia central do material</w:t>
            </w:r>
          </w:p>
        </w:tc>
        <w:tc>
          <w:tcPr>
            <w:tcW w:w="6520" w:type="dxa"/>
            <w:shd w:val="clear" w:color="auto" w:fill="FFFFFF"/>
            <w:tcMar>
              <w:top w:w="180" w:type="dxa"/>
              <w:left w:w="110" w:type="dxa"/>
              <w:bottom w:w="300" w:type="dxa"/>
              <w:right w:w="110" w:type="dxa"/>
            </w:tcMar>
          </w:tcPr>
          <w:p w14:paraId="0E860813" w14:textId="77777777" w:rsidR="003055E8" w:rsidRDefault="00E7444B">
            <w:r>
              <w:t xml:space="preserve"> </w:t>
            </w:r>
            <w:r>
              <w:br/>
            </w:r>
            <w:r>
              <w:br/>
            </w:r>
          </w:p>
        </w:tc>
      </w:tr>
      <w:tr w:rsidR="003055E8" w14:paraId="64CABEF8" w14:textId="77777777">
        <w:trPr>
          <w:jc w:val="center"/>
        </w:trPr>
        <w:tc>
          <w:tcPr>
            <w:tcW w:w="2551" w:type="dxa"/>
            <w:shd w:val="clear" w:color="auto" w:fill="EEE5F5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1FB1B6C" w14:textId="77777777" w:rsidR="003055E8" w:rsidRDefault="00E7444B">
            <w:r>
              <w:rPr>
                <w:b/>
                <w:color w:val="4B1D6F"/>
              </w:rPr>
              <w:t>Conexão com a sessão</w:t>
            </w:r>
          </w:p>
        </w:tc>
        <w:tc>
          <w:tcPr>
            <w:tcW w:w="6520" w:type="dxa"/>
            <w:shd w:val="clear" w:color="auto" w:fill="FFFFFF"/>
            <w:tcMar>
              <w:top w:w="180" w:type="dxa"/>
              <w:left w:w="110" w:type="dxa"/>
              <w:bottom w:w="300" w:type="dxa"/>
              <w:right w:w="110" w:type="dxa"/>
            </w:tcMar>
          </w:tcPr>
          <w:p w14:paraId="6957B514" w14:textId="77777777" w:rsidR="003055E8" w:rsidRDefault="00E7444B">
            <w:r>
              <w:t xml:space="preserve"> </w:t>
            </w:r>
            <w:r>
              <w:br/>
            </w:r>
            <w:r>
              <w:br/>
            </w:r>
          </w:p>
        </w:tc>
      </w:tr>
      <w:tr w:rsidR="003055E8" w14:paraId="357279E4" w14:textId="77777777">
        <w:trPr>
          <w:jc w:val="center"/>
        </w:trPr>
        <w:tc>
          <w:tcPr>
            <w:tcW w:w="2551" w:type="dxa"/>
            <w:shd w:val="clear" w:color="auto" w:fill="EEE5F5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10D0FDA" w14:textId="77777777" w:rsidR="003055E8" w:rsidRDefault="00E7444B">
            <w:r>
              <w:rPr>
                <w:b/>
                <w:color w:val="4B1D6F"/>
              </w:rPr>
              <w:t>Aplicação fora do jogo</w:t>
            </w:r>
          </w:p>
        </w:tc>
        <w:tc>
          <w:tcPr>
            <w:tcW w:w="6520" w:type="dxa"/>
            <w:shd w:val="clear" w:color="auto" w:fill="FFFFFF"/>
            <w:tcMar>
              <w:top w:w="180" w:type="dxa"/>
              <w:left w:w="110" w:type="dxa"/>
              <w:bottom w:w="300" w:type="dxa"/>
              <w:right w:w="110" w:type="dxa"/>
            </w:tcMar>
          </w:tcPr>
          <w:p w14:paraId="7D25FD47" w14:textId="77777777" w:rsidR="003055E8" w:rsidRDefault="00E7444B">
            <w:r>
              <w:t xml:space="preserve"> </w:t>
            </w:r>
            <w:r>
              <w:br/>
            </w:r>
            <w:r>
              <w:br/>
            </w:r>
          </w:p>
        </w:tc>
      </w:tr>
    </w:tbl>
    <w:p w14:paraId="03BAE54A" w14:textId="77777777" w:rsidR="003055E8" w:rsidRDefault="003055E8"/>
    <w:p w14:paraId="33FB09F8" w14:textId="77777777" w:rsidR="003055E8" w:rsidRDefault="00E7444B">
      <w:pPr>
        <w:pStyle w:val="Heading2"/>
        <w:spacing w:after="60" w:line="264" w:lineRule="auto"/>
      </w:pPr>
      <w:r>
        <w:t>Validação do mestre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3402"/>
      </w:tblGrid>
      <w:tr w:rsidR="003055E8" w14:paraId="516195C3" w14:textId="77777777">
        <w:trPr>
          <w:jc w:val="center"/>
        </w:trPr>
        <w:tc>
          <w:tcPr>
            <w:tcW w:w="2835" w:type="dxa"/>
            <w:shd w:val="clear" w:color="auto" w:fill="6F2C9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BA50E0" w14:textId="77777777" w:rsidR="003055E8" w:rsidRDefault="00E7444B">
            <w:pPr>
              <w:jc w:val="center"/>
            </w:pPr>
            <w:r>
              <w:rPr>
                <w:b/>
                <w:color w:val="FFFFFF"/>
              </w:rPr>
              <w:t>Selo Companion</w:t>
            </w:r>
          </w:p>
        </w:tc>
        <w:tc>
          <w:tcPr>
            <w:tcW w:w="2835" w:type="dxa"/>
            <w:shd w:val="clear" w:color="auto" w:fill="6F2C9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6BD7CCA" w14:textId="77777777" w:rsidR="003055E8" w:rsidRDefault="00E7444B">
            <w:pPr>
              <w:jc w:val="center"/>
            </w:pPr>
            <w:r>
              <w:rPr>
                <w:b/>
                <w:color w:val="FFFFFF"/>
              </w:rPr>
              <w:t>Pulso de Pesquisa</w:t>
            </w:r>
          </w:p>
        </w:tc>
        <w:tc>
          <w:tcPr>
            <w:tcW w:w="3402" w:type="dxa"/>
            <w:shd w:val="clear" w:color="auto" w:fill="6F2C9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691BEF" w14:textId="77777777" w:rsidR="003055E8" w:rsidRDefault="00E7444B">
            <w:pPr>
              <w:jc w:val="center"/>
            </w:pPr>
            <w:r>
              <w:rPr>
                <w:b/>
                <w:color w:val="FFFFFF"/>
              </w:rPr>
              <w:t>Observação</w:t>
            </w:r>
          </w:p>
        </w:tc>
      </w:tr>
      <w:tr w:rsidR="003055E8" w14:paraId="7F502443" w14:textId="77777777">
        <w:trPr>
          <w:jc w:val="center"/>
        </w:trPr>
        <w:tc>
          <w:tcPr>
            <w:tcW w:w="2835" w:type="dxa"/>
            <w:shd w:val="clear" w:color="auto" w:fill="FFFFFF"/>
            <w:tcMar>
              <w:top w:w="180" w:type="dxa"/>
              <w:left w:w="110" w:type="dxa"/>
              <w:bottom w:w="220" w:type="dxa"/>
              <w:right w:w="110" w:type="dxa"/>
            </w:tcMar>
          </w:tcPr>
          <w:p w14:paraId="27BB3016" w14:textId="77777777" w:rsidR="003055E8" w:rsidRDefault="00E7444B">
            <w:r>
              <w:t xml:space="preserve"> </w:t>
            </w:r>
          </w:p>
        </w:tc>
        <w:tc>
          <w:tcPr>
            <w:tcW w:w="2835" w:type="dxa"/>
            <w:shd w:val="clear" w:color="auto" w:fill="FFFFFF"/>
            <w:tcMar>
              <w:top w:w="180" w:type="dxa"/>
              <w:left w:w="110" w:type="dxa"/>
              <w:bottom w:w="220" w:type="dxa"/>
              <w:right w:w="110" w:type="dxa"/>
            </w:tcMar>
          </w:tcPr>
          <w:p w14:paraId="53307217" w14:textId="77777777" w:rsidR="003055E8" w:rsidRDefault="00E7444B">
            <w:r>
              <w:t xml:space="preserve"> </w:t>
            </w:r>
          </w:p>
        </w:tc>
        <w:tc>
          <w:tcPr>
            <w:tcW w:w="3402" w:type="dxa"/>
            <w:shd w:val="clear" w:color="auto" w:fill="FFFFFF"/>
            <w:tcMar>
              <w:top w:w="180" w:type="dxa"/>
              <w:left w:w="110" w:type="dxa"/>
              <w:bottom w:w="220" w:type="dxa"/>
              <w:right w:w="110" w:type="dxa"/>
            </w:tcMar>
          </w:tcPr>
          <w:p w14:paraId="0495BBBE" w14:textId="77777777" w:rsidR="003055E8" w:rsidRDefault="00E7444B">
            <w:r>
              <w:t xml:space="preserve"> </w:t>
            </w:r>
          </w:p>
        </w:tc>
      </w:tr>
    </w:tbl>
    <w:p w14:paraId="408C200A" w14:textId="77777777" w:rsidR="003055E8" w:rsidRDefault="00E7444B">
      <w:r>
        <w:br w:type="page"/>
      </w:r>
    </w:p>
    <w:p w14:paraId="5AB609A8" w14:textId="7F53F1E2" w:rsidR="003055E8" w:rsidRPr="006222B7" w:rsidRDefault="00E7444B">
      <w:pPr>
        <w:pStyle w:val="Heading1"/>
        <w:spacing w:after="80" w:line="264" w:lineRule="auto"/>
        <w:rPr>
          <w:lang w:val="pt-BR"/>
        </w:rPr>
      </w:pPr>
      <w:r w:rsidRPr="006222B7">
        <w:rPr>
          <w:lang w:val="pt-BR"/>
        </w:rPr>
        <w:lastRenderedPageBreak/>
        <w:t>Quadro de registro de Selos Companion e Pulsos de Pesquisa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2521"/>
        <w:gridCol w:w="2521"/>
        <w:gridCol w:w="2835"/>
      </w:tblGrid>
      <w:tr w:rsidR="003055E8" w14:paraId="5A8F39D0" w14:textId="77777777">
        <w:trPr>
          <w:jc w:val="center"/>
        </w:trPr>
        <w:tc>
          <w:tcPr>
            <w:tcW w:w="2835" w:type="dxa"/>
            <w:shd w:val="clear" w:color="auto" w:fill="6F2C9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9D4CB3" w14:textId="77777777" w:rsidR="003055E8" w:rsidRDefault="00E7444B">
            <w:pPr>
              <w:jc w:val="center"/>
            </w:pPr>
            <w:r>
              <w:rPr>
                <w:b/>
                <w:color w:val="FFFFFF"/>
              </w:rPr>
              <w:t>Jogador</w:t>
            </w:r>
          </w:p>
        </w:tc>
        <w:tc>
          <w:tcPr>
            <w:tcW w:w="2268" w:type="dxa"/>
            <w:shd w:val="clear" w:color="auto" w:fill="6F2C9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941A42" w14:textId="77777777" w:rsidR="003055E8" w:rsidRDefault="00E7444B">
            <w:pPr>
              <w:jc w:val="center"/>
            </w:pPr>
            <w:r>
              <w:rPr>
                <w:b/>
                <w:color w:val="FFFFFF"/>
              </w:rPr>
              <w:t>Sessão / log</w:t>
            </w:r>
          </w:p>
        </w:tc>
        <w:tc>
          <w:tcPr>
            <w:tcW w:w="1701" w:type="dxa"/>
            <w:shd w:val="clear" w:color="auto" w:fill="6F2C9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C04EC2" w14:textId="77777777" w:rsidR="003055E8" w:rsidRDefault="00E7444B">
            <w:pPr>
              <w:jc w:val="center"/>
            </w:pPr>
            <w:r>
              <w:rPr>
                <w:b/>
                <w:color w:val="FFFFFF"/>
              </w:rPr>
              <w:t>Selos acumulados</w:t>
            </w:r>
          </w:p>
        </w:tc>
        <w:tc>
          <w:tcPr>
            <w:tcW w:w="2835" w:type="dxa"/>
            <w:shd w:val="clear" w:color="auto" w:fill="6F2C9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9A6130" w14:textId="77777777" w:rsidR="003055E8" w:rsidRDefault="00E7444B">
            <w:pPr>
              <w:jc w:val="center"/>
            </w:pPr>
            <w:r>
              <w:rPr>
                <w:b/>
                <w:color w:val="FFFFFF"/>
              </w:rPr>
              <w:t>Pulsos disponíveis</w:t>
            </w:r>
          </w:p>
        </w:tc>
      </w:tr>
      <w:tr w:rsidR="003055E8" w14:paraId="7F3F91F0" w14:textId="77777777">
        <w:trPr>
          <w:jc w:val="center"/>
        </w:trPr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3A9D66D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6593E2B8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756DA5DA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0A808373" w14:textId="77777777" w:rsidR="003055E8" w:rsidRDefault="00E7444B">
            <w:r>
              <w:t xml:space="preserve"> </w:t>
            </w:r>
          </w:p>
        </w:tc>
      </w:tr>
      <w:tr w:rsidR="003055E8" w14:paraId="37DA60FE" w14:textId="77777777">
        <w:trPr>
          <w:jc w:val="center"/>
        </w:trPr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4CEA91C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73A7A01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2967423F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7965221B" w14:textId="77777777" w:rsidR="003055E8" w:rsidRDefault="00E7444B">
            <w:r>
              <w:t xml:space="preserve"> </w:t>
            </w:r>
          </w:p>
        </w:tc>
      </w:tr>
      <w:tr w:rsidR="003055E8" w14:paraId="1BBD170E" w14:textId="77777777">
        <w:trPr>
          <w:jc w:val="center"/>
        </w:trPr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FC7BB6D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3C6E258E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68A39412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66746E6C" w14:textId="77777777" w:rsidR="003055E8" w:rsidRDefault="00E7444B">
            <w:r>
              <w:t xml:space="preserve"> </w:t>
            </w:r>
          </w:p>
        </w:tc>
      </w:tr>
      <w:tr w:rsidR="003055E8" w14:paraId="0863AFA9" w14:textId="77777777">
        <w:trPr>
          <w:jc w:val="center"/>
        </w:trPr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02A2431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2BBB36CE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8324FDB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D2E684A" w14:textId="77777777" w:rsidR="003055E8" w:rsidRDefault="00E7444B">
            <w:r>
              <w:t xml:space="preserve"> </w:t>
            </w:r>
          </w:p>
        </w:tc>
      </w:tr>
      <w:tr w:rsidR="003055E8" w14:paraId="2BBE3499" w14:textId="77777777">
        <w:trPr>
          <w:jc w:val="center"/>
        </w:trPr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73569286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5B401E5B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5D976AE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2AAC116" w14:textId="77777777" w:rsidR="003055E8" w:rsidRDefault="00E7444B">
            <w:r>
              <w:t xml:space="preserve"> </w:t>
            </w:r>
          </w:p>
        </w:tc>
      </w:tr>
      <w:tr w:rsidR="003055E8" w14:paraId="5B74980C" w14:textId="77777777">
        <w:trPr>
          <w:jc w:val="center"/>
        </w:trPr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3AF48FA0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5336AFE3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74066B3B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354CB97C" w14:textId="77777777" w:rsidR="003055E8" w:rsidRDefault="00E7444B">
            <w:r>
              <w:t xml:space="preserve"> </w:t>
            </w:r>
          </w:p>
        </w:tc>
      </w:tr>
      <w:tr w:rsidR="003055E8" w14:paraId="08DF1705" w14:textId="77777777">
        <w:trPr>
          <w:jc w:val="center"/>
        </w:trPr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22F9E193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674F7661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6E7D46FE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571983B8" w14:textId="77777777" w:rsidR="003055E8" w:rsidRDefault="00E7444B">
            <w:r>
              <w:t xml:space="preserve"> </w:t>
            </w:r>
          </w:p>
        </w:tc>
      </w:tr>
      <w:tr w:rsidR="003055E8" w14:paraId="2FCEB9C5" w14:textId="77777777">
        <w:trPr>
          <w:jc w:val="center"/>
        </w:trPr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7182C0E1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02E5C11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4D8EDA68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7C5DA6A3" w14:textId="77777777" w:rsidR="003055E8" w:rsidRDefault="00E7444B">
            <w:r>
              <w:t xml:space="preserve"> </w:t>
            </w:r>
          </w:p>
        </w:tc>
      </w:tr>
      <w:tr w:rsidR="003055E8" w14:paraId="4CF6025C" w14:textId="77777777">
        <w:trPr>
          <w:jc w:val="center"/>
        </w:trPr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28B98C77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714E7929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6A8B021E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FFFFF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71DD2C36" w14:textId="77777777" w:rsidR="003055E8" w:rsidRDefault="00E7444B">
            <w:r>
              <w:t xml:space="preserve"> </w:t>
            </w:r>
          </w:p>
        </w:tc>
      </w:tr>
      <w:tr w:rsidR="003055E8" w14:paraId="46A82FD4" w14:textId="77777777">
        <w:trPr>
          <w:jc w:val="center"/>
        </w:trPr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14C56F3F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754985F8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20A5833E" w14:textId="77777777" w:rsidR="003055E8" w:rsidRDefault="00E7444B">
            <w:r>
              <w:t xml:space="preserve"> </w:t>
            </w:r>
          </w:p>
        </w:tc>
        <w:tc>
          <w:tcPr>
            <w:tcW w:w="2521" w:type="dxa"/>
            <w:shd w:val="clear" w:color="auto" w:fill="F8F4FB"/>
            <w:tcMar>
              <w:top w:w="180" w:type="dxa"/>
              <w:left w:w="110" w:type="dxa"/>
              <w:bottom w:w="180" w:type="dxa"/>
              <w:right w:w="110" w:type="dxa"/>
            </w:tcMar>
          </w:tcPr>
          <w:p w14:paraId="08A896A7" w14:textId="77777777" w:rsidR="003055E8" w:rsidRDefault="00E7444B">
            <w:r>
              <w:t xml:space="preserve"> </w:t>
            </w:r>
          </w:p>
        </w:tc>
      </w:tr>
    </w:tbl>
    <w:p w14:paraId="3D3FA378" w14:textId="77777777" w:rsidR="003055E8" w:rsidRDefault="003055E8"/>
    <w:p w14:paraId="4D6F090F" w14:textId="2F4A73B5" w:rsidR="003055E8" w:rsidRPr="006222B7" w:rsidRDefault="00E7444B">
      <w:pPr>
        <w:pStyle w:val="Heading1"/>
        <w:spacing w:after="80" w:line="264" w:lineRule="auto"/>
        <w:rPr>
          <w:lang w:val="pt-BR"/>
        </w:rPr>
      </w:pPr>
      <w:r w:rsidRPr="006222B7">
        <w:rPr>
          <w:lang w:val="pt-BR"/>
        </w:rPr>
        <w:t>Síntese operacional para a dupla de mestria</w:t>
      </w:r>
    </w:p>
    <w:p w14:paraId="37BB75D1" w14:textId="77777777" w:rsidR="003055E8" w:rsidRPr="006222B7" w:rsidRDefault="00E7444B">
      <w:pPr>
        <w:spacing w:after="80" w:line="264" w:lineRule="auto"/>
        <w:rPr>
          <w:lang w:val="pt-BR"/>
        </w:rPr>
      </w:pPr>
      <w:r w:rsidRPr="006222B7">
        <w:rPr>
          <w:lang w:val="pt-BR"/>
        </w:rPr>
        <w:t>O mestre principal encerra a sessão no plano narrativo. O mestre-auxiliar faz a leitura funcional breve da sessão com base nas fichas. Em seguida, a mesa recebe o Companion Log correspondente como trilha opcional de aprofundamento.</w:t>
      </w:r>
    </w:p>
    <w:p w14:paraId="2DA3A5F3" w14:textId="77777777" w:rsidR="003055E8" w:rsidRPr="006222B7" w:rsidRDefault="00E7444B">
      <w:pPr>
        <w:spacing w:after="80" w:line="264" w:lineRule="auto"/>
        <w:rPr>
          <w:lang w:val="pt-BR"/>
        </w:rPr>
      </w:pPr>
      <w:r w:rsidRPr="006222B7">
        <w:rPr>
          <w:lang w:val="pt-BR"/>
        </w:rPr>
        <w:t>O jogador que quiser participar do sistema extra consulta um dos materiais sugeridos, entrega uma microevidência de contato e, se validado, recebe um Selo Companion e um Pulso de Pesquisa.</w:t>
      </w:r>
    </w:p>
    <w:p w14:paraId="7A2218A4" w14:textId="77777777" w:rsidR="003055E8" w:rsidRPr="006222B7" w:rsidRDefault="00E7444B">
      <w:pPr>
        <w:spacing w:after="80" w:line="264" w:lineRule="auto"/>
        <w:rPr>
          <w:lang w:val="pt-BR"/>
        </w:rPr>
      </w:pPr>
      <w:r w:rsidRPr="006222B7">
        <w:rPr>
          <w:lang w:val="pt-BR"/>
        </w:rPr>
        <w:t>No encerramento da campanha, os Selos acumulados podem ser usados como critério para um prêmio final simbólico ou material definido pela mesa.</w:t>
      </w:r>
    </w:p>
    <w:p w14:paraId="091842B8" w14:textId="77777777" w:rsidR="003055E8" w:rsidRPr="006222B7" w:rsidRDefault="00E7444B">
      <w:pPr>
        <w:rPr>
          <w:lang w:val="pt-BR"/>
        </w:rPr>
      </w:pPr>
      <w:r w:rsidRPr="006222B7">
        <w:rPr>
          <w:lang w:val="pt-BR"/>
        </w:rPr>
        <w:br w:type="page"/>
      </w:r>
    </w:p>
    <w:p w14:paraId="02C43921" w14:textId="77777777" w:rsidR="003055E8" w:rsidRPr="006222B7" w:rsidRDefault="00E7444B">
      <w:pPr>
        <w:pStyle w:val="Heading1"/>
        <w:spacing w:after="80" w:line="264" w:lineRule="auto"/>
        <w:rPr>
          <w:lang w:val="pt-BR"/>
        </w:rPr>
      </w:pPr>
      <w:r w:rsidRPr="006222B7">
        <w:rPr>
          <w:lang w:val="pt-BR"/>
        </w:rPr>
        <w:lastRenderedPageBreak/>
        <w:t>Referências-base da curadoria preliminar</w:t>
      </w:r>
    </w:p>
    <w:p w14:paraId="3CD067E0" w14:textId="77777777" w:rsidR="003055E8" w:rsidRDefault="00E7444B">
      <w:pPr>
        <w:spacing w:after="40"/>
        <w:ind w:left="283"/>
      </w:pPr>
      <w:r w:rsidRPr="006222B7">
        <w:rPr>
          <w:lang w:val="pt-BR"/>
        </w:rPr>
        <w:t xml:space="preserve">• Association for Contextual Behavioral Science (ACBS). </w:t>
      </w:r>
      <w:r>
        <w:t>ACT; About ACT; Values List &amp; Tool; materiais de self-as-context.</w:t>
      </w:r>
    </w:p>
    <w:p w14:paraId="222DE1C2" w14:textId="77777777" w:rsidR="003055E8" w:rsidRDefault="00E7444B">
      <w:pPr>
        <w:spacing w:after="40"/>
        <w:ind w:left="283"/>
      </w:pPr>
      <w:r>
        <w:t>• Courtright, S. H., Thurgood, G. R., Stewart, G. L., &amp; Pierotti, A. J. (2015). Structural interdependence in teams: An integrative framework and meta-analysis. Journal of Applied Psychology, 100(6), 1825–1846.</w:t>
      </w:r>
    </w:p>
    <w:p w14:paraId="553A90BD" w14:textId="77777777" w:rsidR="003055E8" w:rsidRDefault="00E7444B">
      <w:pPr>
        <w:spacing w:after="40"/>
        <w:ind w:left="283"/>
      </w:pPr>
      <w:r>
        <w:t>• Greater Good Magazine. Materiais introdutórios sobre mindfulness, empathy e atenção ao presente.</w:t>
      </w:r>
    </w:p>
    <w:p w14:paraId="42CF8484" w14:textId="77777777" w:rsidR="003055E8" w:rsidRDefault="00E7444B">
      <w:pPr>
        <w:spacing w:after="40"/>
        <w:ind w:left="283"/>
      </w:pPr>
      <w:r>
        <w:t>• Janssens, M., Meslec, N., &amp; Leenders, R. T. A. J. (2022). Collective intelligence in teams: Contextualizing collective intelligent behavior over time. Frontiers in Psychology, 13, 989572.</w:t>
      </w:r>
    </w:p>
    <w:p w14:paraId="2E1B9E56" w14:textId="77777777" w:rsidR="003055E8" w:rsidRDefault="00E7444B">
      <w:pPr>
        <w:spacing w:after="40"/>
        <w:ind w:left="283"/>
      </w:pPr>
      <w:r>
        <w:t>• National Institute of Mental Health (NIMH). RDoC — Attention.</w:t>
      </w:r>
    </w:p>
    <w:p w14:paraId="74960FAC" w14:textId="77777777" w:rsidR="003055E8" w:rsidRDefault="00E7444B">
      <w:pPr>
        <w:spacing w:after="40"/>
        <w:ind w:left="283"/>
      </w:pPr>
      <w:r>
        <w:t>• National Research Council. Guide for the Care and Use of Laboratory Animals (8th ed.). National Academies Press.</w:t>
      </w:r>
    </w:p>
    <w:p w14:paraId="3BE42FCC" w14:textId="77777777" w:rsidR="003055E8" w:rsidRDefault="00E7444B">
      <w:pPr>
        <w:spacing w:after="40"/>
        <w:ind w:left="283"/>
      </w:pPr>
      <w:r>
        <w:t>• NASA Johnson Space Center. Human Factors &amp; Performance.</w:t>
      </w:r>
    </w:p>
    <w:p w14:paraId="3C0A77C1" w14:textId="77777777" w:rsidR="003055E8" w:rsidRDefault="00E7444B">
      <w:pPr>
        <w:spacing w:after="40"/>
        <w:ind w:left="283"/>
      </w:pPr>
      <w:r>
        <w:t>• NC3Rs. The 3Rs resources.</w:t>
      </w:r>
    </w:p>
    <w:p w14:paraId="78A10E5D" w14:textId="77777777" w:rsidR="003055E8" w:rsidRDefault="00E7444B">
      <w:pPr>
        <w:spacing w:after="40"/>
        <w:ind w:left="283"/>
      </w:pPr>
      <w:r>
        <w:t>• StopBullying.gov. Bystanders to Bullying.</w:t>
      </w:r>
    </w:p>
    <w:p w14:paraId="55B0EB2A" w14:textId="77777777" w:rsidR="003055E8" w:rsidRDefault="00E7444B">
      <w:pPr>
        <w:spacing w:after="40"/>
        <w:ind w:left="283"/>
      </w:pPr>
      <w:r>
        <w:t>• Tedeschi, R. G., Moore, B. A., &amp; Greene, T. C. (2025). Posttraumatic Growth as a Pathway to Wellness for Individuals and Organizations. Behavioral Sciences, 15(12), 1653.</w:t>
      </w:r>
    </w:p>
    <w:p w14:paraId="7F3A7AF4" w14:textId="77777777" w:rsidR="003055E8" w:rsidRDefault="00E7444B">
      <w:pPr>
        <w:spacing w:after="40"/>
        <w:ind w:left="283"/>
      </w:pPr>
      <w:r>
        <w:t>• World Health Organization (WHO), War Trauma Foundation, &amp; World Vision International. Psychological First Aid: Guide for Field Workers.</w:t>
      </w:r>
    </w:p>
    <w:sectPr w:rsidR="003055E8" w:rsidSect="00034616">
      <w:pgSz w:w="12240" w:h="15840"/>
      <w:pgMar w:top="964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5004572">
    <w:abstractNumId w:val="8"/>
  </w:num>
  <w:num w:numId="2" w16cid:durableId="423695592">
    <w:abstractNumId w:val="6"/>
  </w:num>
  <w:num w:numId="3" w16cid:durableId="1672022293">
    <w:abstractNumId w:val="5"/>
  </w:num>
  <w:num w:numId="4" w16cid:durableId="207381739">
    <w:abstractNumId w:val="4"/>
  </w:num>
  <w:num w:numId="5" w16cid:durableId="1361082322">
    <w:abstractNumId w:val="7"/>
  </w:num>
  <w:num w:numId="6" w16cid:durableId="1625772543">
    <w:abstractNumId w:val="3"/>
  </w:num>
  <w:num w:numId="7" w16cid:durableId="1389915427">
    <w:abstractNumId w:val="2"/>
  </w:num>
  <w:num w:numId="8" w16cid:durableId="387652733">
    <w:abstractNumId w:val="1"/>
  </w:num>
  <w:num w:numId="9" w16cid:durableId="76349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AF8"/>
    <w:rsid w:val="0015074B"/>
    <w:rsid w:val="0029639D"/>
    <w:rsid w:val="003055E8"/>
    <w:rsid w:val="00326F90"/>
    <w:rsid w:val="006222B7"/>
    <w:rsid w:val="00AA1D8D"/>
    <w:rsid w:val="00B47730"/>
    <w:rsid w:val="00BE10A4"/>
    <w:rsid w:val="00C7692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399EA1"/>
  <w14:defaultImageDpi w14:val="300"/>
  <w15:docId w15:val="{0CBFC761-7A5E-40E3-8E0D-CA91B583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B1D6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F2C9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D2D2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4B1D6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666666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343</Words>
  <Characters>2043</Characters>
  <Application>Microsoft Office Word</Application>
  <DocSecurity>0</DocSecurity>
  <Lines>107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Revis@r</cp:lastModifiedBy>
  <cp:revision>3</cp:revision>
  <dcterms:created xsi:type="dcterms:W3CDTF">2026-04-15T22:32:00Z</dcterms:created>
  <dcterms:modified xsi:type="dcterms:W3CDTF">2026-04-15T23:28:00Z</dcterms:modified>
  <cp:category/>
</cp:coreProperties>
</file>